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BE736D" w:rsidP="00E40DBE">
      <w:pPr>
        <w:spacing w:after="0"/>
        <w:jc w:val="center"/>
        <w:rPr>
          <w:b/>
          <w:sz w:val="26"/>
          <w:szCs w:val="26"/>
        </w:rPr>
      </w:pPr>
      <w:bookmarkStart w:id="0" w:name="_GoBack"/>
      <w:r w:rsidRPr="00BE736D">
        <w:rPr>
          <w:b/>
          <w:noProof/>
          <w:sz w:val="26"/>
          <w:szCs w:val="26"/>
        </w:rPr>
        <w:drawing>
          <wp:anchor distT="0" distB="0" distL="114300" distR="114300" simplePos="0" relativeHeight="251662336" behindDoc="0" locked="0" layoutInCell="1" allowOverlap="1">
            <wp:simplePos x="0" y="0"/>
            <wp:positionH relativeFrom="margin">
              <wp:posOffset>-1568923</wp:posOffset>
            </wp:positionH>
            <wp:positionV relativeFrom="margin">
              <wp:posOffset>-1091727</wp:posOffset>
            </wp:positionV>
            <wp:extent cx="8241030" cy="11649075"/>
            <wp:effectExtent l="0" t="0" r="7620" b="9525"/>
            <wp:wrapSquare wrapText="bothSides"/>
            <wp:docPr id="3" name="Рисунок 3" descr="C:\Users\AboraP\Deskto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1030" cy="11649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D53C40" w:rsidRPr="00D53C40">
        <w:rPr>
          <w:b/>
          <w:sz w:val="26"/>
          <w:szCs w:val="26"/>
        </w:rPr>
        <w:t>УФСИН России по Амурской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1"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1"/>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r w:rsidRPr="00E12F16">
          <w:rPr>
            <w:rStyle w:val="a8"/>
            <w:b/>
            <w:sz w:val="26"/>
            <w:szCs w:val="26"/>
            <w:u w:val="none"/>
            <w:lang w:val="en-US"/>
          </w:rPr>
          <w:t>ru</w:t>
        </w:r>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ление на копии заверительной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FF748A" w:rsidRPr="002D37B6" w:rsidRDefault="00D71B41" w:rsidP="00E40DBE">
      <w:pPr>
        <w:shd w:val="clear" w:color="auto" w:fill="FFFFFF"/>
        <w:snapToGrid w:val="0"/>
        <w:spacing w:after="0"/>
        <w:ind w:right="193" w:firstLine="567"/>
        <w:rPr>
          <w:color w:val="000000"/>
          <w:sz w:val="26"/>
          <w:szCs w:val="26"/>
        </w:rPr>
      </w:pPr>
      <w:bookmarkStart w:id="5" w:name="_Hlk519869645"/>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813464" w:rsidRPr="002D37B6" w:rsidRDefault="00813464" w:rsidP="00813464">
      <w:pPr>
        <w:shd w:val="clear" w:color="auto" w:fill="FFFFFF"/>
        <w:snapToGrid w:val="0"/>
        <w:spacing w:after="0"/>
        <w:ind w:right="193" w:firstLine="567"/>
        <w:rPr>
          <w:sz w:val="26"/>
          <w:szCs w:val="26"/>
        </w:rPr>
      </w:pPr>
      <w:bookmarkStart w:id="6" w:name="_Hlk519006395"/>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813464" w:rsidRPr="002D37B6" w:rsidRDefault="00813464" w:rsidP="00813464">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5"/>
    <w:bookmarkEnd w:id="6"/>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7"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складских помещений площадью не менее 200 кв.м.</w:t>
      </w:r>
      <w:r>
        <w:rPr>
          <w:color w:val="000000"/>
          <w:sz w:val="26"/>
          <w:szCs w:val="26"/>
        </w:rPr>
        <w:t xml:space="preserve"> 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3634E" w:rsidRDefault="000F769A" w:rsidP="00D44AEE">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bookmarkEnd w:id="7"/>
      <w:r w:rsidR="00D44AEE">
        <w:rPr>
          <w:color w:val="000000"/>
          <w:sz w:val="26"/>
          <w:szCs w:val="26"/>
        </w:rPr>
        <w:t>.</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8" w:name="_Hlk518304993"/>
      <w:r w:rsidRPr="002D37B6">
        <w:rPr>
          <w:b/>
          <w:sz w:val="26"/>
          <w:szCs w:val="26"/>
        </w:rPr>
        <w:lastRenderedPageBreak/>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813464">
        <w:rPr>
          <w:b/>
          <w:sz w:val="26"/>
          <w:szCs w:val="26"/>
        </w:rPr>
        <w:t>30</w:t>
      </w:r>
      <w:r w:rsidR="00D53C40" w:rsidRPr="002D37B6">
        <w:rPr>
          <w:b/>
          <w:sz w:val="26"/>
          <w:szCs w:val="26"/>
        </w:rPr>
        <w:t>.07.2018г. в 11.00 час.</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подачи  заявок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bookmarkStart w:id="9" w:name="_Hlk519686486"/>
      <w:r w:rsidR="00E0542F">
        <w:rPr>
          <w:b/>
          <w:sz w:val="26"/>
          <w:szCs w:val="26"/>
        </w:rPr>
        <w:t>0</w:t>
      </w:r>
      <w:r w:rsidR="00813464">
        <w:rPr>
          <w:b/>
          <w:sz w:val="26"/>
          <w:szCs w:val="26"/>
        </w:rPr>
        <w:t>2</w:t>
      </w:r>
      <w:r w:rsidR="00D53C40" w:rsidRPr="002D37B6">
        <w:rPr>
          <w:b/>
          <w:sz w:val="26"/>
          <w:szCs w:val="26"/>
        </w:rPr>
        <w:t>.0</w:t>
      </w:r>
      <w:r w:rsidR="00E0542F">
        <w:rPr>
          <w:b/>
          <w:sz w:val="26"/>
          <w:szCs w:val="26"/>
        </w:rPr>
        <w:t>8</w:t>
      </w:r>
      <w:r w:rsidR="00D53C40" w:rsidRPr="002D37B6">
        <w:rPr>
          <w:b/>
          <w:sz w:val="26"/>
          <w:szCs w:val="26"/>
        </w:rPr>
        <w:t>.2018г.</w:t>
      </w:r>
      <w:bookmarkEnd w:id="9"/>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lastRenderedPageBreak/>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D53C40" w:rsidRPr="002D37B6">
        <w:rPr>
          <w:b/>
          <w:sz w:val="26"/>
          <w:szCs w:val="26"/>
        </w:rPr>
        <w:t xml:space="preserve">не позднее </w:t>
      </w:r>
      <w:r w:rsidR="00D53C40">
        <w:rPr>
          <w:b/>
          <w:sz w:val="26"/>
          <w:szCs w:val="26"/>
        </w:rPr>
        <w:t>0</w:t>
      </w:r>
      <w:r w:rsidR="00813464">
        <w:rPr>
          <w:b/>
          <w:sz w:val="26"/>
          <w:szCs w:val="26"/>
        </w:rPr>
        <w:t>8</w:t>
      </w:r>
      <w:r w:rsidR="00D53C40" w:rsidRPr="002D37B6">
        <w:rPr>
          <w:b/>
          <w:sz w:val="26"/>
          <w:szCs w:val="26"/>
        </w:rPr>
        <w:t>.0</w:t>
      </w:r>
      <w:r w:rsidR="00D53C40">
        <w:rPr>
          <w:b/>
          <w:sz w:val="26"/>
          <w:szCs w:val="26"/>
        </w:rPr>
        <w:t>8</w:t>
      </w:r>
      <w:r w:rsidR="00D53C40" w:rsidRPr="002D37B6">
        <w:rPr>
          <w:b/>
          <w:sz w:val="26"/>
          <w:szCs w:val="26"/>
        </w:rPr>
        <w:t>.2018г.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lastRenderedPageBreak/>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w:t>
      </w:r>
      <w:r w:rsidR="00260DCF" w:rsidRPr="00E40DBE">
        <w:rPr>
          <w:color w:val="000000"/>
          <w:sz w:val="26"/>
          <w:szCs w:val="26"/>
        </w:rPr>
        <w:lastRenderedPageBreak/>
        <w:t>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8"/>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10"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68"/>
        <w:gridCol w:w="7078"/>
      </w:tblGrid>
      <w:tr w:rsidR="00D53C40" w:rsidRPr="00657A6F" w:rsidTr="00D53C40">
        <w:trPr>
          <w:trHeight w:val="615"/>
        </w:trPr>
        <w:tc>
          <w:tcPr>
            <w:tcW w:w="0" w:type="auto"/>
            <w:vAlign w:val="center"/>
          </w:tcPr>
          <w:p w:rsidR="00D53C40" w:rsidRPr="004F629C" w:rsidRDefault="00D53C40" w:rsidP="00D53C40">
            <w:pPr>
              <w:spacing w:after="0"/>
              <w:jc w:val="center"/>
              <w:rPr>
                <w:rFonts w:eastAsiaTheme="minorEastAsia"/>
                <w:szCs w:val="28"/>
              </w:rPr>
            </w:pPr>
            <w:r w:rsidRPr="004F629C">
              <w:rPr>
                <w:rFonts w:eastAsiaTheme="minorEastAsia"/>
                <w:szCs w:val="28"/>
              </w:rPr>
              <w:t>№ п/п</w:t>
            </w:r>
          </w:p>
        </w:tc>
        <w:tc>
          <w:tcPr>
            <w:tcW w:w="1868" w:type="dxa"/>
            <w:vAlign w:val="center"/>
          </w:tcPr>
          <w:p w:rsidR="00D53C40" w:rsidRPr="004F629C" w:rsidRDefault="00D53C40" w:rsidP="00D53C40">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Амурской области</w:t>
            </w:r>
          </w:p>
        </w:tc>
        <w:tc>
          <w:tcPr>
            <w:tcW w:w="7078" w:type="dxa"/>
            <w:vAlign w:val="center"/>
          </w:tcPr>
          <w:p w:rsidR="00D53C40" w:rsidRPr="004F629C" w:rsidRDefault="00D53C40" w:rsidP="00D53C40">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D53C40" w:rsidRPr="00657A6F" w:rsidTr="0014269D">
        <w:tc>
          <w:tcPr>
            <w:tcW w:w="0" w:type="auto"/>
            <w:vAlign w:val="center"/>
          </w:tcPr>
          <w:p w:rsidR="00D53C40" w:rsidRPr="00B260EA" w:rsidRDefault="00D53C40" w:rsidP="0014269D">
            <w:pPr>
              <w:spacing w:after="0"/>
              <w:jc w:val="center"/>
              <w:rPr>
                <w:rFonts w:eastAsiaTheme="minorEastAsia"/>
                <w:szCs w:val="28"/>
              </w:rPr>
            </w:pPr>
            <w:r w:rsidRPr="00B260EA">
              <w:rPr>
                <w:rFonts w:eastAsiaTheme="minorEastAsia"/>
                <w:szCs w:val="28"/>
              </w:rPr>
              <w:t>1</w:t>
            </w:r>
          </w:p>
        </w:tc>
        <w:tc>
          <w:tcPr>
            <w:tcW w:w="1868" w:type="dxa"/>
            <w:vAlign w:val="center"/>
          </w:tcPr>
          <w:p w:rsidR="00D53C40" w:rsidRPr="000063CD" w:rsidRDefault="00D53C40" w:rsidP="0014269D">
            <w:pPr>
              <w:jc w:val="left"/>
              <w:rPr>
                <w:b/>
              </w:rPr>
            </w:pPr>
            <w:r w:rsidRPr="000063CD">
              <w:rPr>
                <w:b/>
              </w:rPr>
              <w:t xml:space="preserve">ИК-8 </w:t>
            </w:r>
          </w:p>
        </w:tc>
        <w:tc>
          <w:tcPr>
            <w:tcW w:w="7078" w:type="dxa"/>
            <w:vAlign w:val="center"/>
          </w:tcPr>
          <w:p w:rsidR="00D53C40" w:rsidRDefault="00D53C40" w:rsidP="0014269D">
            <w:pPr>
              <w:jc w:val="left"/>
              <w:rPr>
                <w:szCs w:val="28"/>
              </w:rPr>
            </w:pPr>
            <w:r>
              <w:rPr>
                <w:color w:val="000000"/>
                <w:szCs w:val="28"/>
                <w:shd w:val="clear" w:color="auto" w:fill="FFFFFF"/>
              </w:rPr>
              <w:t>675010, Амурская область, г. Благовещенск, ул. 5-я стройка</w:t>
            </w:r>
          </w:p>
        </w:tc>
      </w:tr>
      <w:tr w:rsidR="00D53C40" w:rsidRPr="00657A6F" w:rsidTr="0014269D">
        <w:tc>
          <w:tcPr>
            <w:tcW w:w="0" w:type="auto"/>
            <w:vAlign w:val="center"/>
          </w:tcPr>
          <w:p w:rsidR="00D53C40" w:rsidRPr="00B260EA" w:rsidRDefault="00D53C40" w:rsidP="0014269D">
            <w:pPr>
              <w:spacing w:after="0"/>
              <w:jc w:val="center"/>
              <w:rPr>
                <w:rFonts w:eastAsiaTheme="minorEastAsia"/>
                <w:szCs w:val="28"/>
              </w:rPr>
            </w:pPr>
            <w:r w:rsidRPr="00B260EA">
              <w:rPr>
                <w:rFonts w:eastAsiaTheme="minorEastAsia"/>
                <w:szCs w:val="28"/>
              </w:rPr>
              <w:t>2</w:t>
            </w:r>
          </w:p>
        </w:tc>
        <w:tc>
          <w:tcPr>
            <w:tcW w:w="1868" w:type="dxa"/>
            <w:vAlign w:val="center"/>
          </w:tcPr>
          <w:p w:rsidR="00D53C40" w:rsidRPr="000063CD" w:rsidRDefault="00D53C40" w:rsidP="0014269D">
            <w:pPr>
              <w:jc w:val="left"/>
              <w:rPr>
                <w:b/>
              </w:rPr>
            </w:pPr>
            <w:r w:rsidRPr="000063CD">
              <w:rPr>
                <w:b/>
              </w:rPr>
              <w:t xml:space="preserve">ИК-2 </w:t>
            </w:r>
          </w:p>
        </w:tc>
        <w:tc>
          <w:tcPr>
            <w:tcW w:w="7078" w:type="dxa"/>
            <w:vAlign w:val="center"/>
          </w:tcPr>
          <w:p w:rsidR="00D53C40" w:rsidRDefault="00D53C40" w:rsidP="0014269D">
            <w:pPr>
              <w:pStyle w:val="a9"/>
              <w:shd w:val="clear" w:color="auto" w:fill="FFFFFF"/>
              <w:spacing w:after="0" w:line="276" w:lineRule="auto"/>
              <w:jc w:val="left"/>
              <w:rPr>
                <w:color w:val="000000"/>
                <w:szCs w:val="28"/>
              </w:rPr>
            </w:pPr>
            <w:r>
              <w:rPr>
                <w:color w:val="000000"/>
                <w:szCs w:val="28"/>
              </w:rPr>
              <w:t xml:space="preserve">676811, Амурская область, Белогорский район, с.Возжаевка, </w:t>
            </w:r>
            <w:r>
              <w:br/>
            </w:r>
            <w:r>
              <w:rPr>
                <w:color w:val="000000"/>
                <w:szCs w:val="28"/>
              </w:rPr>
              <w:t>ул. Центральная</w:t>
            </w:r>
          </w:p>
        </w:tc>
      </w:tr>
      <w:tr w:rsidR="00D53C40" w:rsidRPr="00657A6F" w:rsidTr="0014269D">
        <w:tc>
          <w:tcPr>
            <w:tcW w:w="0" w:type="auto"/>
            <w:vAlign w:val="center"/>
          </w:tcPr>
          <w:p w:rsidR="00D53C40" w:rsidRPr="00B260EA" w:rsidRDefault="00D53C40" w:rsidP="0014269D">
            <w:pPr>
              <w:spacing w:after="0"/>
              <w:jc w:val="center"/>
              <w:rPr>
                <w:rFonts w:eastAsiaTheme="minorEastAsia"/>
                <w:szCs w:val="28"/>
              </w:rPr>
            </w:pPr>
            <w:r w:rsidRPr="00B260EA">
              <w:rPr>
                <w:rFonts w:eastAsiaTheme="minorEastAsia"/>
                <w:szCs w:val="28"/>
              </w:rPr>
              <w:t>3</w:t>
            </w:r>
          </w:p>
        </w:tc>
        <w:tc>
          <w:tcPr>
            <w:tcW w:w="1868" w:type="dxa"/>
            <w:vAlign w:val="center"/>
          </w:tcPr>
          <w:p w:rsidR="00D53C40" w:rsidRPr="000063CD" w:rsidRDefault="00D53C40" w:rsidP="0014269D">
            <w:pPr>
              <w:jc w:val="left"/>
              <w:rPr>
                <w:b/>
              </w:rPr>
            </w:pPr>
            <w:r w:rsidRPr="000063CD">
              <w:rPr>
                <w:b/>
              </w:rPr>
              <w:t xml:space="preserve">СИЗО-1 </w:t>
            </w:r>
          </w:p>
        </w:tc>
        <w:tc>
          <w:tcPr>
            <w:tcW w:w="7078" w:type="dxa"/>
            <w:vAlign w:val="center"/>
          </w:tcPr>
          <w:p w:rsidR="00D53C40" w:rsidRDefault="00D53C40" w:rsidP="0014269D">
            <w:pPr>
              <w:jc w:val="left"/>
              <w:rPr>
                <w:color w:val="000000"/>
                <w:szCs w:val="28"/>
                <w:shd w:val="clear" w:color="auto" w:fill="FFFFFF"/>
              </w:rPr>
            </w:pPr>
            <w:r>
              <w:rPr>
                <w:color w:val="000000"/>
                <w:szCs w:val="28"/>
                <w:shd w:val="clear" w:color="auto" w:fill="FFFFFF"/>
              </w:rPr>
              <w:t>675007, Амурская область, г. Благовещенск, переулок Серышевский, 55</w:t>
            </w:r>
          </w:p>
        </w:tc>
      </w:tr>
      <w:tr w:rsidR="00D53C40" w:rsidRPr="00657A6F" w:rsidTr="0014269D">
        <w:tc>
          <w:tcPr>
            <w:tcW w:w="0" w:type="auto"/>
            <w:vAlign w:val="center"/>
          </w:tcPr>
          <w:p w:rsidR="00D53C40" w:rsidRPr="00B260EA" w:rsidRDefault="00D53C40" w:rsidP="0014269D">
            <w:pPr>
              <w:spacing w:after="0"/>
              <w:jc w:val="center"/>
              <w:rPr>
                <w:rFonts w:eastAsiaTheme="minorEastAsia"/>
                <w:szCs w:val="28"/>
              </w:rPr>
            </w:pPr>
            <w:r w:rsidRPr="00B260EA">
              <w:rPr>
                <w:rFonts w:eastAsiaTheme="minorEastAsia"/>
                <w:szCs w:val="28"/>
              </w:rPr>
              <w:t>4</w:t>
            </w:r>
          </w:p>
        </w:tc>
        <w:tc>
          <w:tcPr>
            <w:tcW w:w="1868" w:type="dxa"/>
            <w:vAlign w:val="center"/>
          </w:tcPr>
          <w:p w:rsidR="00D53C40" w:rsidRPr="000063CD" w:rsidRDefault="00D53C40" w:rsidP="0014269D">
            <w:pPr>
              <w:jc w:val="left"/>
              <w:rPr>
                <w:b/>
              </w:rPr>
            </w:pPr>
            <w:r w:rsidRPr="000063CD">
              <w:rPr>
                <w:b/>
              </w:rPr>
              <w:t xml:space="preserve">ИК-3 </w:t>
            </w:r>
          </w:p>
        </w:tc>
        <w:tc>
          <w:tcPr>
            <w:tcW w:w="7078" w:type="dxa"/>
            <w:vAlign w:val="center"/>
          </w:tcPr>
          <w:p w:rsidR="00D53C40" w:rsidRDefault="00D53C40" w:rsidP="0014269D">
            <w:pPr>
              <w:jc w:val="left"/>
              <w:rPr>
                <w:color w:val="000000"/>
                <w:szCs w:val="28"/>
                <w:shd w:val="clear" w:color="auto" w:fill="FFFFFF"/>
              </w:rPr>
            </w:pPr>
            <w:r>
              <w:rPr>
                <w:color w:val="000000"/>
                <w:szCs w:val="28"/>
                <w:shd w:val="clear" w:color="auto" w:fill="FFFFFF"/>
              </w:rPr>
              <w:t xml:space="preserve">676910, Амурская область, Ивановский район, с. Среднебелая, </w:t>
            </w:r>
            <w:r>
              <w:rPr>
                <w:color w:val="000000"/>
                <w:szCs w:val="28"/>
                <w:shd w:val="clear" w:color="auto" w:fill="FFFFFF"/>
              </w:rPr>
              <w:br/>
              <w:t>ул. Г. Рулева, 2</w:t>
            </w:r>
          </w:p>
        </w:tc>
      </w:tr>
    </w:tbl>
    <w:p w:rsidR="00BE636D" w:rsidRDefault="00BE636D" w:rsidP="00E40DBE">
      <w:pPr>
        <w:spacing w:after="0"/>
        <w:ind w:firstLine="709"/>
        <w:rPr>
          <w:sz w:val="26"/>
          <w:szCs w:val="26"/>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D53C40" w:rsidP="00B260EA">
            <w:pPr>
              <w:rPr>
                <w:sz w:val="22"/>
                <w:szCs w:val="22"/>
              </w:rPr>
            </w:pPr>
            <w:r w:rsidRPr="000063CD">
              <w:rPr>
                <w:sz w:val="22"/>
                <w:szCs w:val="22"/>
              </w:rPr>
              <w:t>Амурская область</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D53C40" w:rsidP="00B260EA">
            <w:pPr>
              <w:jc w:val="center"/>
              <w:rPr>
                <w:b/>
                <w:color w:val="000000"/>
                <w:sz w:val="22"/>
                <w:szCs w:val="22"/>
              </w:rPr>
            </w:pPr>
            <w:r>
              <w:rPr>
                <w:b/>
                <w:color w:val="000000"/>
                <w:sz w:val="22"/>
                <w:szCs w:val="22"/>
              </w:rPr>
              <w:t>1</w:t>
            </w:r>
            <w:r w:rsidR="00BE341B" w:rsidRPr="00BE341B">
              <w:rPr>
                <w:b/>
                <w:color w:val="000000"/>
                <w:sz w:val="22"/>
                <w:szCs w:val="22"/>
              </w:rPr>
              <w:t xml:space="preserve"> </w:t>
            </w:r>
            <w:r>
              <w:rPr>
                <w:b/>
                <w:color w:val="000000"/>
                <w:sz w:val="22"/>
                <w:szCs w:val="22"/>
              </w:rPr>
              <w:t>5</w:t>
            </w:r>
            <w:r w:rsidR="00BE341B" w:rsidRPr="00BE341B">
              <w:rPr>
                <w:b/>
                <w:color w:val="000000"/>
                <w:sz w:val="22"/>
                <w:szCs w:val="22"/>
              </w:rPr>
              <w:t>00 000,00 (</w:t>
            </w:r>
            <w:r>
              <w:rPr>
                <w:b/>
                <w:color w:val="000000"/>
                <w:sz w:val="22"/>
                <w:szCs w:val="22"/>
              </w:rPr>
              <w:t>один миллион пятьсот тысяч</w:t>
            </w:r>
            <w:r w:rsidR="00BE341B" w:rsidRPr="00BE341B">
              <w:rPr>
                <w:b/>
                <w:color w:val="000000"/>
                <w:sz w:val="22"/>
                <w:szCs w:val="22"/>
              </w:rPr>
              <w:t xml:space="preserve">) </w:t>
            </w:r>
            <w:r w:rsidR="00BE636D">
              <w:rPr>
                <w:b/>
                <w:color w:val="000000"/>
                <w:sz w:val="22"/>
                <w:szCs w:val="22"/>
              </w:rPr>
              <w:t xml:space="preserve">руб. </w:t>
            </w:r>
            <w:r w:rsidR="00BE636D" w:rsidRPr="002F20DB">
              <w:rPr>
                <w:b/>
                <w:color w:val="000000"/>
                <w:sz w:val="22"/>
                <w:szCs w:val="22"/>
              </w:rPr>
              <w:t>00 коп</w:t>
            </w:r>
            <w:r w:rsidR="00BE636D">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10"/>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10029" w:type="dxa"/>
        <w:tblInd w:w="-459" w:type="dxa"/>
        <w:tblLook w:val="04A0" w:firstRow="1" w:lastRow="0" w:firstColumn="1" w:lastColumn="0" w:noHBand="0" w:noVBand="1"/>
      </w:tblPr>
      <w:tblGrid>
        <w:gridCol w:w="709"/>
        <w:gridCol w:w="2283"/>
        <w:gridCol w:w="2267"/>
        <w:gridCol w:w="4770"/>
      </w:tblGrid>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D53C40" w:rsidRPr="00D53C40" w:rsidRDefault="00D53C40" w:rsidP="00D53C40">
            <w:pPr>
              <w:spacing w:after="0"/>
              <w:jc w:val="center"/>
              <w:rPr>
                <w:color w:val="000000"/>
              </w:rPr>
            </w:pPr>
            <w:r w:rsidRPr="00D53C40">
              <w:rPr>
                <w:color w:val="000000"/>
              </w:rPr>
              <w:t>№</w:t>
            </w: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КАТЕГОРИЯ</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ПОДКАТЕГОРИЯ</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АССОРТИМЕНТ</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Вафли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Вафли весовые в ассортименте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Кондитерские </w:t>
            </w:r>
            <w:r>
              <w:rPr>
                <w:color w:val="000000"/>
              </w:rPr>
              <w:lastRenderedPageBreak/>
              <w:t>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lastRenderedPageBreak/>
              <w:t>Вафли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Вафли фасованные в ассортименте           </w:t>
            </w:r>
            <w:r>
              <w:rPr>
                <w:color w:val="000000"/>
              </w:rPr>
              <w:lastRenderedPageBreak/>
              <w:t>125-400 г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Вафли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Вафли фасованные в ассортименте 16-37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  сахарное весовое в ассортименте не менее 10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 сдобное весовое в ассортименте не менее 10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 затяжное весовое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Печенье-сэндвич весовое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Печенье сахарное фасованное в ассортименте 115-500 г не менее 10 наименований</w:t>
            </w:r>
          </w:p>
        </w:tc>
      </w:tr>
      <w:tr w:rsidR="00D53C40" w:rsidTr="00C80893">
        <w:trPr>
          <w:trHeight w:val="485"/>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Пряники  фасованные в ассортименте  200-450 г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 формованный с начинкой в ассортименте 140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Пряники весовые в ассортименте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Крекеры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Крекер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Крекеры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Крекер фасованный 100-400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Бисквитные изделия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Корж бисквитный для торта в ассортименте  300-400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Бисквитные изделия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Пирожное бисквитное в ассортименте          200-360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Торты, пироги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Торты в ассортименте 320-650 г длительного хранения</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Торты, пироги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Торт вафельный в ассортименте 200-320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Кексы, рулеты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Кекс бисквитный в ассортименте 150-450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Кексы, рулеты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Рулет бисквитный в ассортименте 145-350 г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Карамель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фруктово-ягодная в ассортименте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Карамель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молочная в ассортименте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Карамель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переслоенная в ассортименте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Карамель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шоколадно-ореховая</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Карамель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глазированная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Карамель леденцовая в ассортименте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шоколадные  пралиновые в ассортименте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Кондитерские </w:t>
            </w:r>
            <w:r>
              <w:rPr>
                <w:color w:val="000000"/>
              </w:rPr>
              <w:lastRenderedPageBreak/>
              <w:t>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lastRenderedPageBreak/>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шоколадные вафельные в </w:t>
            </w:r>
            <w:r>
              <w:rPr>
                <w:color w:val="000000"/>
              </w:rPr>
              <w:lastRenderedPageBreak/>
              <w:t>ассортименте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помадные глазированные в ассортименте не менее 10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шоколадные с нугой в ассортименте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Батончики в ассортименте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желейные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помадные неглазированные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Конфеты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Конфеты  шоколадные куполообразные в ассортименте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Ирис</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Ирис фасованный 38-200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Ирис</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Ирис весовой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Драже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Драже весовое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Марс 50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Марс макс 70-81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Баунти 55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Баунти трио 82,5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Сникерс 50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Сникерс Супер 95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Твикс 55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Батончик шоколадный Твикс Экстра  82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Батончик шоколадный Пикник 38-55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Батончик шоколадный в ассортименте  40-80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в ассортименте  75-200 г не менее 10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шоколадные батончики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 в ассортименте  20-60 г не менее   2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Шоколадная паста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Шоколадная паста в ассортименте 220-470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мармелад, пастила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в ассортименте весовой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мармелад, пастила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фасованный в ассортименте 135-350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мармелад, пастила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Мармелад весовой в ассортименте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Зефир, мармелад, пастила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Мармелад фасованный в ассортименте    170-350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Восточные сладости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Козинак весовой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Восточные сладости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Козинак фасованный в ассортименте        50-300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Восточные сладости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Халва весовая в ассортименте                      не менее 1 наименования</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Восточные сладости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Халва фасованная в ассортименте 250-350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Восточные сладости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Щербет фасованный 140-250 в ассортименте не менее 1 наменования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Фруктово-ягодные кондитерские изделия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Повидло в ассортименте 300 г дой-пак не менее 4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Фруктово-ягодные кондитерские изделия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Джем  в ассортименте 300 г дой-пак не менее 4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Фруктово-ягодные кондитерские изделия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Повидло, джем  в ассортименте 0,87-1,0 кг ведро не менее 4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Кондитерские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Мед</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Мед натуральный 100-500 г                             не менее 1 наименования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Хлебобулочные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Сушки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Сушки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Хлебобулочные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Сухари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Сухари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Хлебобулочные изделия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Крендельки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Крендельки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pPr>
            <w:r>
              <w:t xml:space="preserve">Говядина тушеная 290-500 г ж/б не менее 2 наименований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Свинина тушеная  325-338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Свинин, конина тушеная 290-338г ж/б</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Гуляш, макароны по-флотски, мясо кур тушеное, перец фаршированный, тефтели 325-525 ж/б</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Котлеты домашние, крылышки, голубцы, бифштекс, жаркое 300-525 ж/б</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Каша гречневая, перловая, рисовая 340 г ж/б</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Паштет  в  ассортименте  230-315г ж/б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Паштет в ассортименте  95-105 г ал/б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Ветчина в ассортименте  325-525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Колбасная закуска в ассортименте 325-350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мясные и мясорастительные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Мясо цыпленка  325-350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Горошек зеленый консервированный       320-425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Кукуруза сладкая консервированная          212-425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Икра кабачковая  360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Огурцы маринованные 500 мл м/уп</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Фасоль консервированная в ассортименте 310-425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Грибы консервированные в ассортименте  425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овощные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Томатная паста 360-800ж/б</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фруктово-ягодные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Компот Абрикос в ассортименте425-850 мл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фруктово-ягодные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Компот Персик  в ассортименте 425-850 мл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фруктово-ягодные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Компот  Ананас в ассортименте 565-850 мл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фруктово-ягодные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Компот  Клубника  в ассортименте 425-850 мл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фруктово-ягодные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Компот Черешня  в ассортименте 850 мл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Горбуша натуральная 220-250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Печень и икра минтая 185-240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Сайра натуральная с добавлением масла 230-250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Салат из морской капусты 220 -250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Сардина натуральная с добавлением масла 230-250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Сельдь  натуральная с добавлением   масла 230-250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Шпроты в масле 150-250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рыбные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Килька  в томатном соусе 230-250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Молоко сгущенное цельное 8,5 %  ГОСТ           360-380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8,5 %  360-380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Молоко сгущенное с сахаром 8,5% ПЭТ 500-1400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вареная с сахаром 8,5 %            360-380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8,5 % 250-300 г дой-пак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вареная с сахаром 8,5 %           270-300 г  дой-пак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и какао                       360- 380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и кофе                        360-380 г ж/б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и какао                      270-300 г дой-пак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Сгущенка с сахаром и кофе                       270-300 г дой-пак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Консервы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Молоко, сливки сухие (заменитель молочного продукта сухой)  0,4-1 кг  не менее 2 наименований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Консервы молочные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Молоко, сливки сухие 0,15-1 кг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Соусы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 в ассортименте 200-250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Соусы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  в ассортименте 400-450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Соусы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Майонез  в ассортименте 800-900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Кетчуп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Кетчуп  в ассортименте 230-900 г.                не менее 4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Готовые приправы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Хрен столовый 100 г туба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Готовые приправы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Горчица  80-140 г туба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Пищевые жиры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Масло растительное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Масло растительное 0,5-1 л</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Пищевые жиры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Спред</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Спред  в ассортименте 180-250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Пищевые жиры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Спред</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Спред в ассортименте 400-500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Пищевые жиры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Масло сливочное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Масло сливочное 72 % 180-500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Напитки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Напиток газированный в ассортименте     0,25-2 л  (пластиковая бутылка) не менее 6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Напитки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Воды минеральные природные питьевые столовые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Вода питьевая негазированная в ассортименте 1,5-6 л  (пластиковая бутылка)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Напитки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Воды минеральные природные питьевые столовые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Вода питьевая газированная в ассортименте 1,5 л  (пластиковая бутылка)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Напитки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Соки, нектары плодово-ягодные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Нектар  в ассортименте  1 л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Напитки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Соки, нектары плодово-ягодные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Сок в ассортименте 0,200-1 л  не менее 3 наименований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Сухофрукты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Изюм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Сухофрукты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Курага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Сухофрукты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pPr>
            <w:r>
              <w:t xml:space="preserve">Чернослив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Орехи, семена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pPr>
            <w:r>
              <w:t>Арахис</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Орехи, семена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pPr>
            <w:r>
              <w:t>Грецкий орех</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овощи</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Лук репчатый</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овощи</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 xml:space="preserve">Чеснок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овощи</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Огурцы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овощи</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Помидоры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Апельсины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Яблоки</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Груши</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Мандарины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Лимоны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Бананы</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Овощи, Фрукты, Ягоды, Орехи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Свежие фрукты</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pPr>
            <w:r>
              <w:t>Финики</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Бакалея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Сахар</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Сахар Рафинад 1 кг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Бакалея</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Сахар</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Сахар Рафинад  500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Бакалея</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Сахар</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Сахар-песок весовой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Бакалея</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Заменитель сахара</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highlight w:val="yellow"/>
              </w:rPr>
            </w:pPr>
            <w:r>
              <w:rPr>
                <w:color w:val="000000"/>
              </w:rPr>
              <w:t xml:space="preserve">Заменитель сахара 40-100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Жевательная резинка</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Жевательная резинка</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Жевательная резинка в ассортименте 13,6 г не менее 4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куриные, говяжьи бульоны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Бульон 100 г в ассортименте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куриные, говяжьи бульоны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Кубики бульонные 10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продукты быстрого приготовления: лапша, каши, супы, пюре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Вермишель в ассортименте 60-95 г не менее 5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продукты быстрого приготовления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Хлопья кукурузные, овсяные 160-400г.</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продукты быстрого приготовления: лапша, каши, супы, </w:t>
            </w:r>
            <w:r>
              <w:rPr>
                <w:color w:val="000000"/>
              </w:rPr>
              <w:lastRenderedPageBreak/>
              <w:t>пюре</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lastRenderedPageBreak/>
              <w:t>Лапша в термо-чашке 90-150 г не менее 2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продукты быстрого приготовления: лапша, каши, супы, пюре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Пюре картофельное 37,120-250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продукты быстрого приготовления: лапша, каши, супы, пюре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Пюре картофельное в стакане в ассортименте 40 г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конц. растворимые напитки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Кисель не требующий варки в ассортименте 25-220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 растворимые напитки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Напиток растворимый </w:t>
            </w:r>
            <w:r>
              <w:rPr>
                <w:color w:val="000000"/>
                <w:lang w:val="en-US"/>
              </w:rPr>
              <w:t>Yupi</w:t>
            </w:r>
            <w:r w:rsidRPr="00D53C40">
              <w:rPr>
                <w:color w:val="000000"/>
              </w:rPr>
              <w:t xml:space="preserve"> </w:t>
            </w:r>
            <w:r>
              <w:rPr>
                <w:color w:val="000000"/>
              </w:rPr>
              <w:t>в асс. 15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Концентраты Пищевые</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конц. растворимые напитки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Напиток растворимый </w:t>
            </w:r>
            <w:r>
              <w:rPr>
                <w:color w:val="000000"/>
                <w:lang w:val="en-US"/>
              </w:rPr>
              <w:t>Zuko</w:t>
            </w:r>
            <w:r w:rsidRPr="00D53C40">
              <w:rPr>
                <w:color w:val="000000"/>
              </w:rPr>
              <w:t xml:space="preserve"> </w:t>
            </w:r>
            <w:r>
              <w:rPr>
                <w:color w:val="000000"/>
              </w:rPr>
              <w:t>в асс. 25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куриные копчености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Окорочка в/к в вакуум. упаковке</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куриные копчености</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Крылышки в/к в вакуум. упаковке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Колбаса п/к 300- 450 г в вакуум. Упаковке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Колбаса в/к 300- 450 г в вакуум. Упаковке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колбаса сырокопченая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Колбаса с/к  230-450 г в вакуум. Упаковке не менее 2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сосиски, сардельки, шпикачки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Сосиски, колбаски в/у  300 -600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мясные копченые деликатесы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Шпик по-Домашнему в вакуум. упаковке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Мясная продукция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мясные копченые деликатесы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Окорок в/к в вакуум. упаковке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Мясная продукция</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мясные копченые деликатесы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Шейка в/к, корейка, орех в вакуум. упаковке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Замороженные продукты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полуфабрикаты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Блинчики фаршированные в ассорт. на подложке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Бакалейные товары</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Крупа, мука</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Каша б/приготовления Геркулес 35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Снеки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сухарики</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Сухарики в асс. 35-80 г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Снеки</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чипсы</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Чипсы в асс 70-100 г не менее 3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сода пищевая</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Сода пищевая 180-500 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соль</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Соль Поваренная 1 кг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Приправа  универсальная 60-200 г  в ассортименте</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Перец черный молотый 10-50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Перец красный острый 10-50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сухие приправы и специи (лавровый </w:t>
            </w:r>
            <w:r>
              <w:rPr>
                <w:color w:val="000000"/>
              </w:rPr>
              <w:lastRenderedPageBreak/>
              <w:t>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lastRenderedPageBreak/>
              <w:t xml:space="preserve">Приправа укроп сушеный 5-10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Приправа Петрушка Сушеная 7-10 г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Чеснок Сушеный 10-15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Соусы и Специи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сухие приправы и специи (лавровый лист, перец и т.п.)</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Приправа универсальная 30-75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Соусы и Специи</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Соевый соус</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Соевый соус 200-930г</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Кофе, Какао</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кофе растворимый</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Кофе растворимый сублимированный м/у 50-300 г  в ассортименте не менее 25 наименований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Кофе, Какао</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кофе растворимый</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Кофе 3в1 в асс. 12-20 г не менее 3 наименований</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hideMark/>
          </w:tcPr>
          <w:p w:rsidR="00D53C40" w:rsidRDefault="00D53C40">
            <w:r>
              <w:rPr>
                <w:color w:val="000000"/>
              </w:rPr>
              <w:t>Чай, Кофе, Какао</w:t>
            </w:r>
          </w:p>
        </w:tc>
        <w:tc>
          <w:tcPr>
            <w:tcW w:w="2267" w:type="dxa"/>
            <w:tcBorders>
              <w:top w:val="nil"/>
              <w:left w:val="nil"/>
              <w:bottom w:val="single" w:sz="4" w:space="0" w:color="auto"/>
              <w:right w:val="single" w:sz="4" w:space="0" w:color="auto"/>
            </w:tcBorders>
            <w:hideMark/>
          </w:tcPr>
          <w:p w:rsidR="00D53C40" w:rsidRDefault="00D53C40">
            <w:r>
              <w:t>кофейный напиток</w:t>
            </w:r>
          </w:p>
        </w:tc>
        <w:tc>
          <w:tcPr>
            <w:tcW w:w="4770" w:type="dxa"/>
            <w:tcBorders>
              <w:top w:val="nil"/>
              <w:left w:val="nil"/>
              <w:bottom w:val="single" w:sz="4" w:space="0" w:color="auto"/>
              <w:right w:val="single" w:sz="4" w:space="0" w:color="auto"/>
            </w:tcBorders>
            <w:hideMark/>
          </w:tcPr>
          <w:p w:rsidR="00D53C40" w:rsidRDefault="00D53C40">
            <w:r>
              <w:t>Цикорий 85-150 г м/у</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Кофе, Какао</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чай листовой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черный листовой  50-500 г не менее 10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Кофе, Какао</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пакетированный</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черный 25-100 пак. не менее 15 видов</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Кофе, Какао</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чай листовой </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зеленый в ассортименте 100-250 г не менее 2 видов</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jc w:val="left"/>
            </w:pPr>
            <w:r>
              <w:rPr>
                <w:color w:val="000000"/>
              </w:rPr>
              <w:t>Чай, Кофе, Какао</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jc w:val="left"/>
            </w:pPr>
            <w:r>
              <w:rPr>
                <w:color w:val="000000"/>
              </w:rPr>
              <w:t>чай пакетированный</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травяной, фруктово-ягодный в ассортименте 20- 25 пак. не менее 5 видов</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jc w:val="left"/>
            </w:pPr>
            <w:r>
              <w:rPr>
                <w:color w:val="000000"/>
              </w:rPr>
              <w:t>Чай, Кофе, Какао</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jc w:val="left"/>
            </w:pPr>
            <w:r>
              <w:rPr>
                <w:color w:val="000000"/>
              </w:rPr>
              <w:t>чай пакетированный</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Чай зеленый 25 пак.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jc w:val="left"/>
              <w:rPr>
                <w:color w:val="000000"/>
              </w:rPr>
            </w:pPr>
            <w:r>
              <w:rPr>
                <w:color w:val="000000"/>
              </w:rPr>
              <w:t>Чай, Кофе, Какао</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jc w:val="left"/>
              <w:rPr>
                <w:color w:val="000000"/>
              </w:rPr>
            </w:pPr>
            <w:r>
              <w:rPr>
                <w:color w:val="000000"/>
              </w:rPr>
              <w:t>Чай гранулированный</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Чай гранулированный 100-250гр.</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jc w:val="left"/>
              <w:rPr>
                <w:color w:val="000000"/>
              </w:rPr>
            </w:pPr>
            <w:r>
              <w:rPr>
                <w:color w:val="000000"/>
              </w:rPr>
              <w:t>Чай, Кофе, Какао</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jc w:val="left"/>
              <w:rPr>
                <w:color w:val="000000"/>
              </w:rPr>
            </w:pPr>
            <w:r>
              <w:rPr>
                <w:color w:val="000000"/>
              </w:rPr>
              <w:t>какао</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Какао 150 гр м/п</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Йогурт</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highlight w:val="yellow"/>
              </w:rPr>
            </w:pPr>
            <w:r>
              <w:rPr>
                <w:color w:val="000000"/>
              </w:rPr>
              <w:t>Йогурт питьевой 1.2% в асс.</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Йогурт</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highlight w:val="yellow"/>
              </w:rPr>
            </w:pPr>
            <w:r>
              <w:rPr>
                <w:color w:val="000000"/>
              </w:rPr>
              <w:t>Йогурт вязкий 0,1%-7,5% в асс.</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Молоко питьевое цельное стерилизованное</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Молоко питьевое ультрапастеризованное 2,5-3,2%  0,5-1 л т/п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Сметана</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Сметана 10-20%  жирности 200-500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Молочные Продукты</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Кефир</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Кефир 0,5-1 л  1-2,5 % жирности</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Молочные Продукты</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Творог</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Творог 1,5-9 % жирности                        фасованный 250-500 г</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Сыр колбасный</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Сыр колбасный копченый</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Сыры плавленые</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Сыр плавленый  в асс. 70-200 г </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Плавленый продукт с сыром</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Плавленый продукт с сыром 70-100 г не менее 3 видов</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сыры сычужные твердые и мягкие</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Сыр 180-480 г не менее 3 видов </w:t>
            </w:r>
          </w:p>
        </w:tc>
      </w:tr>
      <w:tr w:rsidR="00D53C40" w:rsidTr="00C80893">
        <w:trPr>
          <w:trHeight w:val="20"/>
        </w:trPr>
        <w:tc>
          <w:tcPr>
            <w:tcW w:w="709" w:type="dxa"/>
            <w:tcBorders>
              <w:top w:val="nil"/>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nil"/>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мороженое</w:t>
            </w:r>
          </w:p>
        </w:tc>
        <w:tc>
          <w:tcPr>
            <w:tcW w:w="4770" w:type="dxa"/>
            <w:tcBorders>
              <w:top w:val="nil"/>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Мороженое пломбир 500-1000 г не менее 2 видов</w:t>
            </w:r>
          </w:p>
        </w:tc>
      </w:tr>
      <w:tr w:rsidR="00D53C40" w:rsidTr="00C80893">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D53C40" w:rsidRPr="00D53C40" w:rsidRDefault="00D53C40" w:rsidP="00D53C40">
            <w:pPr>
              <w:pStyle w:val="afa"/>
              <w:numPr>
                <w:ilvl w:val="0"/>
                <w:numId w:val="48"/>
              </w:numPr>
              <w:spacing w:after="0"/>
              <w:jc w:val="center"/>
              <w:rPr>
                <w:rFonts w:ascii="Times New Roman" w:hAnsi="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D53C40" w:rsidRDefault="00D53C40">
            <w:pPr>
              <w:spacing w:after="0"/>
              <w:jc w:val="left"/>
              <w:rPr>
                <w:color w:val="000000"/>
              </w:rPr>
            </w:pPr>
            <w:r>
              <w:rPr>
                <w:color w:val="000000"/>
              </w:rPr>
              <w:t xml:space="preserve">Молочные Продукты </w:t>
            </w:r>
          </w:p>
        </w:tc>
        <w:tc>
          <w:tcPr>
            <w:tcW w:w="2267"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мороженое</w:t>
            </w:r>
          </w:p>
        </w:tc>
        <w:tc>
          <w:tcPr>
            <w:tcW w:w="4770" w:type="dxa"/>
            <w:tcBorders>
              <w:top w:val="single" w:sz="4" w:space="0" w:color="auto"/>
              <w:left w:val="nil"/>
              <w:bottom w:val="single" w:sz="4" w:space="0" w:color="auto"/>
              <w:right w:val="single" w:sz="4" w:space="0" w:color="auto"/>
            </w:tcBorders>
            <w:vAlign w:val="center"/>
            <w:hideMark/>
          </w:tcPr>
          <w:p w:rsidR="00D53C40" w:rsidRDefault="00D53C40">
            <w:pPr>
              <w:spacing w:after="0"/>
              <w:jc w:val="left"/>
              <w:rPr>
                <w:color w:val="000000"/>
              </w:rPr>
            </w:pPr>
            <w:r>
              <w:rPr>
                <w:color w:val="000000"/>
              </w:rPr>
              <w:t>Мороженое стаканчик  вафельный в упаковке 60-150 г в ассортименте не менее 5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"Роллтон"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w:t>
      </w:r>
      <w:r w:rsidR="001C6A6F">
        <w:rPr>
          <w:color w:val="000000"/>
          <w:sz w:val="26"/>
          <w:szCs w:val="26"/>
        </w:rPr>
        <w:lastRenderedPageBreak/>
        <w:t>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Комиссионеру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E0542F" w:rsidRDefault="00E0542F"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r w:rsidRPr="001D6A38">
        <w:rPr>
          <w:rFonts w:ascii="Times New Roman" w:hAnsi="Times New Roman"/>
          <w:sz w:val="26"/>
          <w:szCs w:val="26"/>
        </w:rPr>
        <w:t xml:space="preserve">Элярта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спецконтингенту.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D53C40">
      <w:pPr>
        <w:spacing w:after="0"/>
        <w:ind w:firstLine="567"/>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D53C40">
      <w:pPr>
        <w:spacing w:after="0"/>
        <w:ind w:firstLine="567"/>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D53C40">
      <w:pPr>
        <w:spacing w:after="0"/>
        <w:ind w:firstLine="567"/>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D53C40">
      <w:pPr>
        <w:spacing w:after="0"/>
        <w:ind w:firstLine="567"/>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D53C40">
      <w:pPr>
        <w:spacing w:after="0"/>
        <w:ind w:firstLine="567"/>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D53C40">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передать  Товар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D53C40" w:rsidRPr="001D6A38" w:rsidRDefault="00D53C40" w:rsidP="001D6A38">
      <w:pPr>
        <w:spacing w:after="0"/>
        <w:ind w:firstLine="540"/>
        <w:rPr>
          <w:sz w:val="26"/>
          <w:szCs w:val="26"/>
        </w:rPr>
      </w:pP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окружающих..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Адрес  юридический: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Маерчака,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r w:rsidRPr="001D6A38">
                <w:rPr>
                  <w:rStyle w:val="a8"/>
                  <w:bCs/>
                  <w:sz w:val="26"/>
                  <w:szCs w:val="26"/>
                  <w:lang w:val="en-US"/>
                </w:rPr>
                <w:t>ru</w:t>
              </w:r>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Элярт/     </w:t>
      </w:r>
    </w:p>
    <w:p w:rsidR="001D6A38" w:rsidRPr="001D6A38" w:rsidRDefault="001D6A38" w:rsidP="001D6A38">
      <w:pPr>
        <w:spacing w:after="0"/>
        <w:rPr>
          <w:sz w:val="26"/>
          <w:szCs w:val="26"/>
        </w:rPr>
      </w:pPr>
    </w:p>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868"/>
        <w:gridCol w:w="7078"/>
      </w:tblGrid>
      <w:tr w:rsidR="00D53C40" w:rsidRPr="00657A6F" w:rsidTr="00D53C40">
        <w:trPr>
          <w:trHeight w:val="615"/>
        </w:trPr>
        <w:tc>
          <w:tcPr>
            <w:tcW w:w="0" w:type="auto"/>
            <w:vAlign w:val="center"/>
          </w:tcPr>
          <w:p w:rsidR="00D53C40" w:rsidRPr="004F629C" w:rsidRDefault="00D53C40" w:rsidP="00D53C40">
            <w:pPr>
              <w:spacing w:after="0"/>
              <w:jc w:val="center"/>
              <w:rPr>
                <w:rFonts w:eastAsiaTheme="minorEastAsia"/>
                <w:szCs w:val="28"/>
              </w:rPr>
            </w:pPr>
            <w:r w:rsidRPr="004F629C">
              <w:rPr>
                <w:rFonts w:eastAsiaTheme="minorEastAsia"/>
                <w:szCs w:val="28"/>
              </w:rPr>
              <w:t>№ п/п</w:t>
            </w:r>
          </w:p>
        </w:tc>
        <w:tc>
          <w:tcPr>
            <w:tcW w:w="1868" w:type="dxa"/>
            <w:vAlign w:val="center"/>
          </w:tcPr>
          <w:p w:rsidR="00D53C40" w:rsidRPr="004F629C" w:rsidRDefault="00D53C40" w:rsidP="00D53C40">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Амурской области</w:t>
            </w:r>
          </w:p>
        </w:tc>
        <w:tc>
          <w:tcPr>
            <w:tcW w:w="7078" w:type="dxa"/>
            <w:vAlign w:val="center"/>
          </w:tcPr>
          <w:p w:rsidR="00D53C40" w:rsidRPr="004F629C" w:rsidRDefault="00D53C40" w:rsidP="00D53C40">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D53C40" w:rsidRPr="00657A6F" w:rsidTr="00D53C40">
        <w:tc>
          <w:tcPr>
            <w:tcW w:w="0" w:type="auto"/>
            <w:vAlign w:val="center"/>
          </w:tcPr>
          <w:p w:rsidR="00D53C40" w:rsidRPr="00B260EA" w:rsidRDefault="00D53C40" w:rsidP="00D53C40">
            <w:pPr>
              <w:spacing w:after="0"/>
              <w:jc w:val="center"/>
              <w:rPr>
                <w:rFonts w:eastAsiaTheme="minorEastAsia"/>
                <w:szCs w:val="28"/>
              </w:rPr>
            </w:pPr>
            <w:r w:rsidRPr="00B260EA">
              <w:rPr>
                <w:rFonts w:eastAsiaTheme="minorEastAsia"/>
                <w:szCs w:val="28"/>
              </w:rPr>
              <w:t>1</w:t>
            </w:r>
          </w:p>
        </w:tc>
        <w:tc>
          <w:tcPr>
            <w:tcW w:w="1868" w:type="dxa"/>
            <w:vAlign w:val="center"/>
          </w:tcPr>
          <w:p w:rsidR="00D53C40" w:rsidRPr="000063CD" w:rsidRDefault="00D53C40" w:rsidP="00D53C40">
            <w:pPr>
              <w:jc w:val="left"/>
              <w:rPr>
                <w:b/>
              </w:rPr>
            </w:pPr>
            <w:r w:rsidRPr="000063CD">
              <w:rPr>
                <w:b/>
              </w:rPr>
              <w:t xml:space="preserve">ИК-8 </w:t>
            </w:r>
          </w:p>
        </w:tc>
        <w:tc>
          <w:tcPr>
            <w:tcW w:w="7078" w:type="dxa"/>
            <w:vAlign w:val="center"/>
          </w:tcPr>
          <w:p w:rsidR="00D53C40" w:rsidRDefault="00D53C40" w:rsidP="00D53C40">
            <w:pPr>
              <w:rPr>
                <w:szCs w:val="28"/>
              </w:rPr>
            </w:pPr>
            <w:r>
              <w:rPr>
                <w:color w:val="000000"/>
                <w:szCs w:val="28"/>
                <w:shd w:val="clear" w:color="auto" w:fill="FFFFFF"/>
              </w:rPr>
              <w:t>675010, Амурская область, г. Благовещенск, ул. 5-я стройка</w:t>
            </w:r>
          </w:p>
        </w:tc>
      </w:tr>
      <w:tr w:rsidR="00D53C40" w:rsidRPr="00657A6F" w:rsidTr="00D53C40">
        <w:tc>
          <w:tcPr>
            <w:tcW w:w="0" w:type="auto"/>
            <w:vAlign w:val="center"/>
          </w:tcPr>
          <w:p w:rsidR="00D53C40" w:rsidRPr="00B260EA" w:rsidRDefault="00D53C40" w:rsidP="00D53C40">
            <w:pPr>
              <w:spacing w:after="0"/>
              <w:jc w:val="center"/>
              <w:rPr>
                <w:rFonts w:eastAsiaTheme="minorEastAsia"/>
                <w:szCs w:val="28"/>
              </w:rPr>
            </w:pPr>
            <w:r w:rsidRPr="00B260EA">
              <w:rPr>
                <w:rFonts w:eastAsiaTheme="minorEastAsia"/>
                <w:szCs w:val="28"/>
              </w:rPr>
              <w:t>2</w:t>
            </w:r>
          </w:p>
        </w:tc>
        <w:tc>
          <w:tcPr>
            <w:tcW w:w="1868" w:type="dxa"/>
            <w:vAlign w:val="center"/>
          </w:tcPr>
          <w:p w:rsidR="00D53C40" w:rsidRPr="000063CD" w:rsidRDefault="00D53C40" w:rsidP="00D53C40">
            <w:pPr>
              <w:jc w:val="left"/>
              <w:rPr>
                <w:b/>
              </w:rPr>
            </w:pPr>
            <w:r w:rsidRPr="000063CD">
              <w:rPr>
                <w:b/>
              </w:rPr>
              <w:t xml:space="preserve">ИК-2 </w:t>
            </w:r>
          </w:p>
        </w:tc>
        <w:tc>
          <w:tcPr>
            <w:tcW w:w="7078" w:type="dxa"/>
            <w:vAlign w:val="center"/>
          </w:tcPr>
          <w:p w:rsidR="00D53C40" w:rsidRDefault="00D53C40" w:rsidP="00D53C40">
            <w:pPr>
              <w:pStyle w:val="a9"/>
              <w:shd w:val="clear" w:color="auto" w:fill="FFFFFF"/>
              <w:spacing w:after="0" w:line="276" w:lineRule="auto"/>
              <w:rPr>
                <w:color w:val="000000"/>
                <w:szCs w:val="28"/>
              </w:rPr>
            </w:pPr>
            <w:r>
              <w:rPr>
                <w:color w:val="000000"/>
                <w:szCs w:val="28"/>
              </w:rPr>
              <w:t xml:space="preserve">676811, Амурская область, Белогорский район, с.Возжаевка, </w:t>
            </w:r>
            <w:r>
              <w:br/>
            </w:r>
            <w:r>
              <w:rPr>
                <w:color w:val="000000"/>
                <w:szCs w:val="28"/>
              </w:rPr>
              <w:t>ул. Центральная</w:t>
            </w:r>
          </w:p>
        </w:tc>
      </w:tr>
      <w:tr w:rsidR="00D53C40" w:rsidRPr="00657A6F" w:rsidTr="00D53C40">
        <w:tc>
          <w:tcPr>
            <w:tcW w:w="0" w:type="auto"/>
            <w:vAlign w:val="center"/>
          </w:tcPr>
          <w:p w:rsidR="00D53C40" w:rsidRPr="00B260EA" w:rsidRDefault="00D53C40" w:rsidP="00D53C40">
            <w:pPr>
              <w:spacing w:after="0"/>
              <w:jc w:val="center"/>
              <w:rPr>
                <w:rFonts w:eastAsiaTheme="minorEastAsia"/>
                <w:szCs w:val="28"/>
              </w:rPr>
            </w:pPr>
            <w:r w:rsidRPr="00B260EA">
              <w:rPr>
                <w:rFonts w:eastAsiaTheme="minorEastAsia"/>
                <w:szCs w:val="28"/>
              </w:rPr>
              <w:t>3</w:t>
            </w:r>
          </w:p>
        </w:tc>
        <w:tc>
          <w:tcPr>
            <w:tcW w:w="1868" w:type="dxa"/>
            <w:vAlign w:val="center"/>
          </w:tcPr>
          <w:p w:rsidR="00D53C40" w:rsidRPr="000063CD" w:rsidRDefault="00D53C40" w:rsidP="00D53C40">
            <w:pPr>
              <w:jc w:val="left"/>
              <w:rPr>
                <w:b/>
              </w:rPr>
            </w:pPr>
            <w:r w:rsidRPr="000063CD">
              <w:rPr>
                <w:b/>
              </w:rPr>
              <w:t xml:space="preserve">СИЗО-1 </w:t>
            </w:r>
          </w:p>
        </w:tc>
        <w:tc>
          <w:tcPr>
            <w:tcW w:w="7078" w:type="dxa"/>
            <w:vAlign w:val="center"/>
          </w:tcPr>
          <w:p w:rsidR="00D53C40" w:rsidRDefault="00D53C40" w:rsidP="00D53C40">
            <w:pPr>
              <w:rPr>
                <w:color w:val="000000"/>
                <w:szCs w:val="28"/>
                <w:shd w:val="clear" w:color="auto" w:fill="FFFFFF"/>
              </w:rPr>
            </w:pPr>
            <w:r>
              <w:rPr>
                <w:color w:val="000000"/>
                <w:szCs w:val="28"/>
                <w:shd w:val="clear" w:color="auto" w:fill="FFFFFF"/>
              </w:rPr>
              <w:t>675007, Амурская область, г. Благовещенск, переулок Серышевский, 55</w:t>
            </w:r>
          </w:p>
        </w:tc>
      </w:tr>
      <w:tr w:rsidR="00D53C40" w:rsidRPr="00657A6F" w:rsidTr="00D53C40">
        <w:tc>
          <w:tcPr>
            <w:tcW w:w="0" w:type="auto"/>
            <w:vAlign w:val="center"/>
          </w:tcPr>
          <w:p w:rsidR="00D53C40" w:rsidRPr="00B260EA" w:rsidRDefault="00D53C40" w:rsidP="00D53C40">
            <w:pPr>
              <w:spacing w:after="0"/>
              <w:jc w:val="center"/>
              <w:rPr>
                <w:rFonts w:eastAsiaTheme="minorEastAsia"/>
                <w:szCs w:val="28"/>
              </w:rPr>
            </w:pPr>
            <w:r w:rsidRPr="00B260EA">
              <w:rPr>
                <w:rFonts w:eastAsiaTheme="minorEastAsia"/>
                <w:szCs w:val="28"/>
              </w:rPr>
              <w:t>4</w:t>
            </w:r>
          </w:p>
        </w:tc>
        <w:tc>
          <w:tcPr>
            <w:tcW w:w="1868" w:type="dxa"/>
            <w:vAlign w:val="center"/>
          </w:tcPr>
          <w:p w:rsidR="00D53C40" w:rsidRPr="000063CD" w:rsidRDefault="00D53C40" w:rsidP="00D53C40">
            <w:pPr>
              <w:jc w:val="left"/>
              <w:rPr>
                <w:b/>
              </w:rPr>
            </w:pPr>
            <w:r w:rsidRPr="000063CD">
              <w:rPr>
                <w:b/>
              </w:rPr>
              <w:t xml:space="preserve">ИК-3 </w:t>
            </w:r>
          </w:p>
        </w:tc>
        <w:tc>
          <w:tcPr>
            <w:tcW w:w="7078" w:type="dxa"/>
            <w:vAlign w:val="center"/>
          </w:tcPr>
          <w:p w:rsidR="00D53C40" w:rsidRDefault="00D53C40" w:rsidP="00D53C40">
            <w:pPr>
              <w:rPr>
                <w:color w:val="000000"/>
                <w:szCs w:val="28"/>
                <w:shd w:val="clear" w:color="auto" w:fill="FFFFFF"/>
              </w:rPr>
            </w:pPr>
            <w:r>
              <w:rPr>
                <w:color w:val="000000"/>
                <w:szCs w:val="28"/>
                <w:shd w:val="clear" w:color="auto" w:fill="FFFFFF"/>
              </w:rPr>
              <w:t xml:space="preserve">676910, Амурская область, Ивановский район, с. Среднебелая, </w:t>
            </w:r>
            <w:r>
              <w:rPr>
                <w:color w:val="000000"/>
                <w:szCs w:val="28"/>
                <w:shd w:val="clear" w:color="auto" w:fill="FFFFFF"/>
              </w:rPr>
              <w:br/>
              <w:t>ул. Г. Рулева, 2</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 В.Ф. Элярт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Pr="00026376" w:rsidRDefault="00D53C40"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53C40" w:rsidRDefault="00D53C40"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D53C40" w:rsidRDefault="00D53C40"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53C40" w:rsidRDefault="00D53C40"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D53C40" w:rsidRDefault="00D53C40"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68" w:rsidRDefault="00232568">
      <w:r>
        <w:separator/>
      </w:r>
    </w:p>
  </w:endnote>
  <w:endnote w:type="continuationSeparator" w:id="0">
    <w:p w:rsidR="00232568" w:rsidRDefault="0023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40" w:rsidRDefault="00D53C40"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53C40" w:rsidRDefault="00D53C4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40" w:rsidRDefault="00D53C40">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68" w:rsidRDefault="00232568">
      <w:r>
        <w:separator/>
      </w:r>
    </w:p>
  </w:footnote>
  <w:footnote w:type="continuationSeparator" w:id="0">
    <w:p w:rsidR="00232568" w:rsidRDefault="0023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40" w:rsidRDefault="00D53C40"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53C40" w:rsidRDefault="00D53C4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40" w:rsidRDefault="00D53C40"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D53C40" w:rsidRDefault="00D53C40"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40" w:rsidRDefault="00D53C40"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C04BB"/>
    <w:multiLevelType w:val="hybridMultilevel"/>
    <w:tmpl w:val="39A0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1"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19"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12DE9"/>
    <w:multiLevelType w:val="hybridMultilevel"/>
    <w:tmpl w:val="06A2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5"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3F37E9E"/>
    <w:multiLevelType w:val="hybridMultilevel"/>
    <w:tmpl w:val="AF606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705D73"/>
    <w:multiLevelType w:val="hybridMultilevel"/>
    <w:tmpl w:val="A89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C3E03"/>
    <w:multiLevelType w:val="hybridMultilevel"/>
    <w:tmpl w:val="9418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4"/>
  </w:num>
  <w:num w:numId="5">
    <w:abstractNumId w:val="7"/>
  </w:num>
  <w:num w:numId="6">
    <w:abstractNumId w:val="4"/>
  </w:num>
  <w:num w:numId="7">
    <w:abstractNumId w:val="31"/>
  </w:num>
  <w:num w:numId="8">
    <w:abstractNumId w:val="23"/>
  </w:num>
  <w:num w:numId="9">
    <w:abstractNumId w:val="34"/>
  </w:num>
  <w:num w:numId="10">
    <w:abstractNumId w:val="13"/>
  </w:num>
  <w:num w:numId="11">
    <w:abstractNumId w:val="19"/>
  </w:num>
  <w:num w:numId="12">
    <w:abstractNumId w:val="18"/>
  </w:num>
  <w:num w:numId="13">
    <w:abstractNumId w:val="8"/>
  </w:num>
  <w:num w:numId="14">
    <w:abstractNumId w:val="1"/>
  </w:num>
  <w:num w:numId="15">
    <w:abstractNumId w:val="35"/>
  </w:num>
  <w:num w:numId="16">
    <w:abstractNumId w:val="15"/>
  </w:num>
  <w:num w:numId="17">
    <w:abstractNumId w:val="11"/>
  </w:num>
  <w:num w:numId="18">
    <w:abstractNumId w:val="25"/>
  </w:num>
  <w:num w:numId="19">
    <w:abstractNumId w:val="17"/>
  </w:num>
  <w:num w:numId="20">
    <w:abstractNumId w:val="39"/>
  </w:num>
  <w:num w:numId="21">
    <w:abstractNumId w:val="20"/>
  </w:num>
  <w:num w:numId="22">
    <w:abstractNumId w:val="38"/>
  </w:num>
  <w:num w:numId="23">
    <w:abstractNumId w:val="4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24"/>
  </w:num>
  <w:num w:numId="28">
    <w:abstractNumId w:val="27"/>
  </w:num>
  <w:num w:numId="29">
    <w:abstractNumId w:val="29"/>
  </w:num>
  <w:num w:numId="30">
    <w:abstractNumId w:val="28"/>
  </w:num>
  <w:num w:numId="31">
    <w:abstractNumId w:val="16"/>
  </w:num>
  <w:num w:numId="32">
    <w:abstractNumId w:val="40"/>
  </w:num>
  <w:num w:numId="33">
    <w:abstractNumId w:val="3"/>
  </w:num>
  <w:num w:numId="34">
    <w:abstractNumId w:val="22"/>
  </w:num>
  <w:num w:numId="35">
    <w:abstractNumId w:val="12"/>
  </w:num>
  <w:num w:numId="36">
    <w:abstractNumId w:val="5"/>
  </w:num>
  <w:num w:numId="37">
    <w:abstractNumId w:val="2"/>
  </w:num>
  <w:num w:numId="38">
    <w:abstractNumId w:val="36"/>
  </w:num>
  <w:num w:numId="39">
    <w:abstractNumId w:val="21"/>
  </w:num>
  <w:num w:numId="40">
    <w:abstractNumId w:val="33"/>
  </w:num>
  <w:num w:numId="41">
    <w:abstractNumId w:val="32"/>
  </w:num>
  <w:num w:numId="42">
    <w:abstractNumId w:val="6"/>
  </w:num>
  <w:num w:numId="43">
    <w:abstractNumId w:val="26"/>
  </w:num>
  <w:num w:numId="44">
    <w:abstractNumId w:val="0"/>
  </w:num>
  <w:num w:numId="45">
    <w:abstractNumId w:val="10"/>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26376"/>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77A41"/>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69D"/>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568"/>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4FAA"/>
    <w:rsid w:val="0067569D"/>
    <w:rsid w:val="0067687F"/>
    <w:rsid w:val="00677923"/>
    <w:rsid w:val="006812E8"/>
    <w:rsid w:val="0068169E"/>
    <w:rsid w:val="0068333A"/>
    <w:rsid w:val="00683E0E"/>
    <w:rsid w:val="0068508C"/>
    <w:rsid w:val="006852E2"/>
    <w:rsid w:val="00687293"/>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3464"/>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30C"/>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0C4"/>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41B"/>
    <w:rsid w:val="00BE3BC3"/>
    <w:rsid w:val="00BE3C0F"/>
    <w:rsid w:val="00BE4C54"/>
    <w:rsid w:val="00BE5DF5"/>
    <w:rsid w:val="00BE636D"/>
    <w:rsid w:val="00BE647C"/>
    <w:rsid w:val="00BE6668"/>
    <w:rsid w:val="00BE6913"/>
    <w:rsid w:val="00BE736D"/>
    <w:rsid w:val="00BF05BC"/>
    <w:rsid w:val="00BF19F2"/>
    <w:rsid w:val="00BF2D66"/>
    <w:rsid w:val="00BF3A31"/>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32"/>
    <w:rsid w:val="00C71516"/>
    <w:rsid w:val="00C719A2"/>
    <w:rsid w:val="00C72E86"/>
    <w:rsid w:val="00C7341C"/>
    <w:rsid w:val="00C74E43"/>
    <w:rsid w:val="00C75355"/>
    <w:rsid w:val="00C779BF"/>
    <w:rsid w:val="00C80893"/>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4AEE"/>
    <w:rsid w:val="00D4633C"/>
    <w:rsid w:val="00D47D10"/>
    <w:rsid w:val="00D50D43"/>
    <w:rsid w:val="00D52039"/>
    <w:rsid w:val="00D529C4"/>
    <w:rsid w:val="00D53C40"/>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40C0"/>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42F"/>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6CE4"/>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 w:type="paragraph" w:customStyle="1" w:styleId="msonormal0">
    <w:name w:val="msonormal"/>
    <w:basedOn w:val="a2"/>
    <w:rsid w:val="00D5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56828883">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05D7-6923-4CA5-9A5C-925647E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13029</Words>
  <Characters>74267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87122</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15</cp:revision>
  <cp:lastPrinted>2018-07-18T07:15:00Z</cp:lastPrinted>
  <dcterms:created xsi:type="dcterms:W3CDTF">2018-07-10T09:44:00Z</dcterms:created>
  <dcterms:modified xsi:type="dcterms:W3CDTF">2018-07-20T10:35:00Z</dcterms:modified>
</cp:coreProperties>
</file>